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1F093A">
        <w:rPr>
          <w:rFonts w:asciiTheme="minorHAnsi" w:hAnsiTheme="minorHAnsi"/>
          <w:b/>
          <w:bCs/>
          <w:sz w:val="24"/>
          <w:szCs w:val="24"/>
        </w:rPr>
        <w:t>8</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1F093A">
        <w:rPr>
          <w:rFonts w:asciiTheme="minorHAnsi" w:hAnsiTheme="minorHAnsi"/>
          <w:b/>
          <w:bCs/>
          <w:sz w:val="24"/>
          <w:szCs w:val="24"/>
        </w:rPr>
        <w:t>8</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024C85">
        <w:rPr>
          <w:rFonts w:asciiTheme="minorHAnsi" w:hAnsiTheme="minorHAnsi"/>
          <w:sz w:val="24"/>
          <w:szCs w:val="24"/>
          <w:lang w:eastAsia="en-US"/>
        </w:rPr>
        <w:t>3</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AD6CFC">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92BFC" w:rsidRPr="007534EF" w:rsidTr="00B77B83">
        <w:trPr>
          <w:cantSplit/>
          <w:trHeight w:val="1041"/>
        </w:trPr>
        <w:tc>
          <w:tcPr>
            <w:tcW w:w="1008" w:type="dxa"/>
            <w:vMerge w:val="restart"/>
            <w:shd w:val="clear" w:color="auto" w:fill="auto"/>
            <w:noWrap/>
            <w:textDirection w:val="btLr"/>
            <w:vAlign w:val="center"/>
          </w:tcPr>
          <w:p w:rsidR="00992BFC" w:rsidRPr="007534EF" w:rsidRDefault="00992BFC" w:rsidP="001F093A">
            <w:pPr>
              <w:jc w:val="center"/>
              <w:rPr>
                <w:rFonts w:asciiTheme="minorHAnsi" w:hAnsiTheme="minorHAnsi"/>
                <w:color w:val="000000"/>
                <w:sz w:val="22"/>
                <w:szCs w:val="22"/>
              </w:rPr>
            </w:pPr>
            <w:r w:rsidRPr="007534EF">
              <w:rPr>
                <w:rFonts w:asciiTheme="minorHAnsi" w:hAnsiTheme="minorHAnsi"/>
                <w:color w:val="000000"/>
                <w:sz w:val="22"/>
                <w:szCs w:val="22"/>
              </w:rPr>
              <w:t>KFW-WB4-YAPIM-1</w:t>
            </w:r>
            <w:r w:rsidR="001F093A">
              <w:rPr>
                <w:rFonts w:asciiTheme="minorHAnsi" w:hAnsiTheme="minorHAnsi"/>
                <w:color w:val="000000"/>
                <w:sz w:val="22"/>
                <w:szCs w:val="22"/>
              </w:rPr>
              <w:t>8</w:t>
            </w:r>
          </w:p>
        </w:tc>
        <w:tc>
          <w:tcPr>
            <w:tcW w:w="708" w:type="dxa"/>
            <w:vAlign w:val="center"/>
          </w:tcPr>
          <w:p w:rsidR="00992BFC" w:rsidRPr="007534EF" w:rsidRDefault="00992BFC" w:rsidP="001C1675">
            <w:pPr>
              <w:jc w:val="center"/>
              <w:rPr>
                <w:rFonts w:asciiTheme="minorHAnsi" w:hAnsiTheme="minorHAnsi"/>
                <w:sz w:val="22"/>
                <w:szCs w:val="22"/>
              </w:rPr>
            </w:pPr>
            <w:r w:rsidRPr="007534EF">
              <w:rPr>
                <w:rFonts w:asciiTheme="minorHAnsi" w:hAnsiTheme="minorHAnsi"/>
                <w:sz w:val="22"/>
                <w:szCs w:val="22"/>
              </w:rPr>
              <w:t>1</w:t>
            </w:r>
          </w:p>
        </w:tc>
        <w:tc>
          <w:tcPr>
            <w:tcW w:w="1701" w:type="dxa"/>
            <w:shd w:val="clear" w:color="auto" w:fill="auto"/>
            <w:noWrap/>
            <w:vAlign w:val="center"/>
          </w:tcPr>
          <w:p w:rsidR="00992BFC" w:rsidRPr="007534EF" w:rsidRDefault="001F093A" w:rsidP="00992BFC">
            <w:pPr>
              <w:rPr>
                <w:rFonts w:asciiTheme="minorHAnsi" w:hAnsiTheme="minorHAnsi"/>
                <w:color w:val="000000"/>
                <w:sz w:val="22"/>
                <w:szCs w:val="22"/>
              </w:rPr>
            </w:pPr>
            <w:r>
              <w:rPr>
                <w:rFonts w:asciiTheme="minorHAnsi" w:hAnsiTheme="minorHAnsi"/>
                <w:bCs/>
                <w:sz w:val="24"/>
                <w:szCs w:val="24"/>
              </w:rPr>
              <w:t>Maltepe</w:t>
            </w:r>
          </w:p>
        </w:tc>
        <w:tc>
          <w:tcPr>
            <w:tcW w:w="5670" w:type="dxa"/>
            <w:shd w:val="clear" w:color="auto" w:fill="auto"/>
            <w:noWrap/>
            <w:vAlign w:val="center"/>
          </w:tcPr>
          <w:p w:rsidR="00992BFC" w:rsidRPr="00B77B83" w:rsidRDefault="001F093A" w:rsidP="009C17C5">
            <w:pPr>
              <w:rPr>
                <w:rFonts w:asciiTheme="minorHAnsi" w:hAnsiTheme="minorHAnsi"/>
                <w:b/>
                <w:sz w:val="24"/>
                <w:szCs w:val="24"/>
              </w:rPr>
            </w:pPr>
            <w:r w:rsidRPr="00B77B83">
              <w:rPr>
                <w:rFonts w:asciiTheme="minorHAnsi" w:hAnsiTheme="minorHAnsi"/>
                <w:b/>
                <w:sz w:val="24"/>
                <w:szCs w:val="24"/>
              </w:rPr>
              <w:t>Hülya Oğuz Anaokulu</w:t>
            </w:r>
          </w:p>
          <w:p w:rsidR="00992BFC" w:rsidRPr="00B77B83" w:rsidRDefault="00B77B83" w:rsidP="009C17C5">
            <w:pPr>
              <w:rPr>
                <w:rFonts w:asciiTheme="minorHAnsi" w:hAnsiTheme="minorHAnsi"/>
                <w:color w:val="000000"/>
                <w:sz w:val="24"/>
                <w:szCs w:val="24"/>
              </w:rPr>
            </w:pPr>
            <w:r w:rsidRPr="00B77B83">
              <w:rPr>
                <w:rFonts w:asciiTheme="minorHAnsi" w:hAnsiTheme="minorHAnsi"/>
                <w:color w:val="000000"/>
                <w:sz w:val="24"/>
                <w:szCs w:val="24"/>
              </w:rPr>
              <w:t>Fındıklı Mahallesi, Ataman Cd. 5 A, 34854 Maltepe/İstanbul</w:t>
            </w:r>
          </w:p>
        </w:tc>
      </w:tr>
      <w:tr w:rsidR="001F093A" w:rsidRPr="007534EF" w:rsidTr="00992BFC">
        <w:trPr>
          <w:cantSplit/>
          <w:trHeight w:val="963"/>
        </w:trPr>
        <w:tc>
          <w:tcPr>
            <w:tcW w:w="1008" w:type="dxa"/>
            <w:vMerge/>
            <w:shd w:val="clear" w:color="auto" w:fill="auto"/>
            <w:noWrap/>
            <w:textDirection w:val="btLr"/>
            <w:vAlign w:val="center"/>
          </w:tcPr>
          <w:p w:rsidR="001F093A" w:rsidRPr="007534EF" w:rsidRDefault="001F093A" w:rsidP="006629A6">
            <w:pPr>
              <w:jc w:val="center"/>
              <w:rPr>
                <w:rFonts w:asciiTheme="minorHAnsi" w:hAnsiTheme="minorHAnsi"/>
                <w:color w:val="000000"/>
                <w:sz w:val="22"/>
                <w:szCs w:val="22"/>
              </w:rPr>
            </w:pPr>
          </w:p>
        </w:tc>
        <w:tc>
          <w:tcPr>
            <w:tcW w:w="708" w:type="dxa"/>
            <w:vAlign w:val="center"/>
          </w:tcPr>
          <w:p w:rsidR="001F093A" w:rsidRDefault="001F093A" w:rsidP="001C1675">
            <w:pPr>
              <w:jc w:val="center"/>
              <w:rPr>
                <w:rFonts w:asciiTheme="minorHAnsi" w:hAnsiTheme="minorHAnsi"/>
                <w:sz w:val="22"/>
                <w:szCs w:val="22"/>
              </w:rPr>
            </w:pPr>
            <w:r>
              <w:rPr>
                <w:rFonts w:asciiTheme="minorHAnsi" w:hAnsiTheme="minorHAnsi"/>
                <w:sz w:val="22"/>
                <w:szCs w:val="22"/>
              </w:rPr>
              <w:t>2</w:t>
            </w:r>
          </w:p>
        </w:tc>
        <w:tc>
          <w:tcPr>
            <w:tcW w:w="1701" w:type="dxa"/>
            <w:shd w:val="clear" w:color="auto" w:fill="auto"/>
            <w:noWrap/>
            <w:vAlign w:val="center"/>
          </w:tcPr>
          <w:p w:rsidR="001F093A" w:rsidRDefault="001F093A" w:rsidP="001C1675">
            <w:pPr>
              <w:rPr>
                <w:rFonts w:asciiTheme="minorHAnsi" w:hAnsiTheme="minorHAnsi"/>
                <w:bCs/>
                <w:sz w:val="24"/>
                <w:szCs w:val="24"/>
              </w:rPr>
            </w:pPr>
            <w:r>
              <w:rPr>
                <w:rFonts w:asciiTheme="minorHAnsi" w:hAnsiTheme="minorHAnsi"/>
                <w:bCs/>
                <w:sz w:val="24"/>
                <w:szCs w:val="24"/>
              </w:rPr>
              <w:t>Maltepe</w:t>
            </w:r>
          </w:p>
        </w:tc>
        <w:tc>
          <w:tcPr>
            <w:tcW w:w="5670" w:type="dxa"/>
            <w:shd w:val="clear" w:color="auto" w:fill="auto"/>
            <w:noWrap/>
            <w:vAlign w:val="center"/>
          </w:tcPr>
          <w:p w:rsidR="001F093A" w:rsidRPr="00B77B83" w:rsidRDefault="001F093A" w:rsidP="009C17C5">
            <w:pPr>
              <w:rPr>
                <w:rFonts w:asciiTheme="minorHAnsi" w:hAnsiTheme="minorHAnsi"/>
                <w:b/>
                <w:sz w:val="24"/>
                <w:szCs w:val="24"/>
              </w:rPr>
            </w:pPr>
            <w:r w:rsidRPr="00B77B83">
              <w:rPr>
                <w:rFonts w:asciiTheme="minorHAnsi" w:hAnsiTheme="minorHAnsi"/>
                <w:b/>
                <w:sz w:val="24"/>
                <w:szCs w:val="24"/>
              </w:rPr>
              <w:t>Tev Abdullah Nezahat Erboz İlkokulu</w:t>
            </w:r>
          </w:p>
          <w:p w:rsidR="00B77B83" w:rsidRPr="00B77B83" w:rsidRDefault="00B77B83" w:rsidP="009C17C5">
            <w:pPr>
              <w:rPr>
                <w:rFonts w:asciiTheme="minorHAnsi" w:hAnsiTheme="minorHAnsi"/>
                <w:sz w:val="24"/>
                <w:szCs w:val="24"/>
              </w:rPr>
            </w:pPr>
            <w:r w:rsidRPr="00B77B83">
              <w:rPr>
                <w:rFonts w:asciiTheme="minorHAnsi" w:hAnsiTheme="minorHAnsi"/>
                <w:sz w:val="24"/>
                <w:szCs w:val="24"/>
              </w:rPr>
              <w:t>Feyzullah Mahallesi Şehit Hikmet Alp Caddesi Dik Sokak No2 Maltepe/İstanbul</w:t>
            </w:r>
          </w:p>
        </w:tc>
      </w:tr>
      <w:tr w:rsidR="00992BFC" w:rsidRPr="007534EF" w:rsidTr="00992BFC">
        <w:trPr>
          <w:cantSplit/>
          <w:trHeight w:val="963"/>
        </w:trPr>
        <w:tc>
          <w:tcPr>
            <w:tcW w:w="1008" w:type="dxa"/>
            <w:vMerge/>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p>
        </w:tc>
        <w:tc>
          <w:tcPr>
            <w:tcW w:w="708" w:type="dxa"/>
            <w:vAlign w:val="center"/>
          </w:tcPr>
          <w:p w:rsidR="00992BFC" w:rsidRPr="007534EF" w:rsidRDefault="001F093A" w:rsidP="001C1675">
            <w:pPr>
              <w:jc w:val="center"/>
              <w:rPr>
                <w:rFonts w:asciiTheme="minorHAnsi" w:hAnsiTheme="minorHAnsi"/>
                <w:sz w:val="22"/>
                <w:szCs w:val="22"/>
              </w:rPr>
            </w:pPr>
            <w:r>
              <w:rPr>
                <w:rFonts w:asciiTheme="minorHAnsi" w:hAnsiTheme="minorHAnsi"/>
                <w:sz w:val="22"/>
                <w:szCs w:val="22"/>
              </w:rPr>
              <w:t>3</w:t>
            </w:r>
          </w:p>
        </w:tc>
        <w:tc>
          <w:tcPr>
            <w:tcW w:w="1701" w:type="dxa"/>
            <w:shd w:val="clear" w:color="auto" w:fill="auto"/>
            <w:noWrap/>
            <w:vAlign w:val="center"/>
          </w:tcPr>
          <w:p w:rsidR="00992BFC" w:rsidRPr="006629A6" w:rsidRDefault="001F093A" w:rsidP="001C1675">
            <w:pPr>
              <w:rPr>
                <w:rFonts w:asciiTheme="minorHAnsi" w:hAnsiTheme="minorHAnsi"/>
                <w:bCs/>
                <w:sz w:val="24"/>
                <w:szCs w:val="24"/>
              </w:rPr>
            </w:pPr>
            <w:r>
              <w:rPr>
                <w:rFonts w:asciiTheme="minorHAnsi" w:hAnsiTheme="minorHAnsi"/>
                <w:bCs/>
                <w:sz w:val="24"/>
                <w:szCs w:val="24"/>
              </w:rPr>
              <w:t>Beykoz</w:t>
            </w:r>
          </w:p>
        </w:tc>
        <w:tc>
          <w:tcPr>
            <w:tcW w:w="5670" w:type="dxa"/>
            <w:shd w:val="clear" w:color="auto" w:fill="auto"/>
            <w:noWrap/>
            <w:vAlign w:val="center"/>
          </w:tcPr>
          <w:p w:rsidR="00992BFC" w:rsidRPr="00B77B83" w:rsidRDefault="001F093A" w:rsidP="009C17C5">
            <w:pPr>
              <w:rPr>
                <w:rFonts w:asciiTheme="minorHAnsi" w:hAnsiTheme="minorHAnsi"/>
                <w:b/>
                <w:sz w:val="24"/>
                <w:szCs w:val="24"/>
              </w:rPr>
            </w:pPr>
            <w:r w:rsidRPr="00B77B83">
              <w:rPr>
                <w:rFonts w:asciiTheme="minorHAnsi" w:hAnsiTheme="minorHAnsi"/>
                <w:b/>
                <w:sz w:val="24"/>
                <w:szCs w:val="24"/>
              </w:rPr>
              <w:t>Selahattin Karakaşlı İmam Hatip Lisesi (Prefabrik)</w:t>
            </w:r>
          </w:p>
          <w:p w:rsidR="00B77B83" w:rsidRPr="00B77B83" w:rsidRDefault="00B77B83" w:rsidP="009C17C5">
            <w:pPr>
              <w:rPr>
                <w:rFonts w:asciiTheme="minorHAnsi" w:hAnsiTheme="minorHAnsi"/>
                <w:sz w:val="24"/>
                <w:szCs w:val="24"/>
              </w:rPr>
            </w:pPr>
            <w:r w:rsidRPr="00B77B83">
              <w:rPr>
                <w:rFonts w:asciiTheme="minorHAnsi" w:hAnsiTheme="minorHAnsi"/>
                <w:sz w:val="24"/>
                <w:szCs w:val="24"/>
              </w:rPr>
              <w:t>Kavacık Mahallesi, Otağtepe Caddesi Çan Sokak No:2, 34810 Beykoz</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1F093A">
        <w:rPr>
          <w:rFonts w:asciiTheme="minorHAnsi" w:hAnsiTheme="minorHAnsi"/>
          <w:b/>
          <w:sz w:val="24"/>
          <w:szCs w:val="24"/>
        </w:rPr>
        <w:t>2</w:t>
      </w:r>
      <w:r w:rsidR="0019383B" w:rsidRPr="0019383B">
        <w:rPr>
          <w:rFonts w:asciiTheme="minorHAnsi" w:hAnsiTheme="minorHAnsi"/>
          <w:b/>
          <w:sz w:val="24"/>
          <w:szCs w:val="24"/>
        </w:rPr>
        <w:t>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r w:rsidRPr="0019383B">
        <w:rPr>
          <w:rFonts w:asciiTheme="minorHAnsi" w:hAnsiTheme="minorHAnsi"/>
          <w:sz w:val="24"/>
          <w:szCs w:val="24"/>
        </w:rPr>
        <w:t>Teklif</w:t>
      </w:r>
      <w:r w:rsidRPr="00066293">
        <w:rPr>
          <w:rFonts w:asciiTheme="minorHAnsi" w:hAnsiTheme="minorHAnsi"/>
          <w:sz w:val="24"/>
          <w:szCs w:val="24"/>
        </w:rPr>
        <w:t xml:space="preserve"> Sahibinin yükleniminde </w:t>
      </w:r>
      <w:r w:rsidRPr="00066293">
        <w:rPr>
          <w:rFonts w:asciiTheme="minorHAnsi" w:hAnsiTheme="minorHAnsi"/>
          <w:sz w:val="24"/>
          <w:szCs w:val="24"/>
        </w:rPr>
        <w:lastRenderedPageBreak/>
        <w:t>İstanbul Proje Koordinasyon Birimi (İPKB) kapsamında ihalesini kazandığı veya devam eden ve geçici kabulü yapılmamış sözleşmeler bulunması durumunda beyan ettiği son 3 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1F093A">
        <w:rPr>
          <w:rFonts w:asciiTheme="minorHAnsi" w:hAnsiTheme="minorHAnsi"/>
          <w:b/>
          <w:bCs/>
          <w:sz w:val="24"/>
          <w:szCs w:val="24"/>
        </w:rPr>
        <w:t>5.5</w:t>
      </w:r>
      <w:r w:rsidR="00467EB0" w:rsidRPr="00467EB0">
        <w:rPr>
          <w:rFonts w:asciiTheme="minorHAnsi" w:hAnsiTheme="minorHAnsi"/>
          <w:b/>
          <w:bCs/>
          <w:sz w:val="24"/>
          <w:szCs w:val="24"/>
        </w:rPr>
        <w:t>00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lastRenderedPageBreak/>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1F093A">
        <w:rPr>
          <w:rFonts w:asciiTheme="minorHAnsi" w:hAnsiTheme="minorHAnsi"/>
          <w:b/>
          <w:bCs/>
          <w:sz w:val="24"/>
          <w:szCs w:val="24"/>
        </w:rPr>
        <w:t>8</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1F093A">
        <w:rPr>
          <w:rFonts w:asciiTheme="minorHAnsi" w:hAnsiTheme="minorHAnsi"/>
          <w:b/>
          <w:sz w:val="24"/>
          <w:szCs w:val="24"/>
        </w:rPr>
        <w:t>50</w:t>
      </w:r>
      <w:r w:rsidR="00C455C8">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0F52F4">
        <w:rPr>
          <w:rFonts w:asciiTheme="minorHAnsi" w:hAnsiTheme="minorHAnsi"/>
          <w:b/>
          <w:sz w:val="24"/>
          <w:szCs w:val="24"/>
        </w:rPr>
        <w:t>29 Eylül 2017</w:t>
      </w:r>
      <w:r w:rsidR="00351EF6">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530FB"/>
    <w:rsid w:val="00055B23"/>
    <w:rsid w:val="0009032E"/>
    <w:rsid w:val="000A3454"/>
    <w:rsid w:val="000D199C"/>
    <w:rsid w:val="000D28BE"/>
    <w:rsid w:val="000D6C9E"/>
    <w:rsid w:val="000F4763"/>
    <w:rsid w:val="000F52F4"/>
    <w:rsid w:val="001336EF"/>
    <w:rsid w:val="00137FEB"/>
    <w:rsid w:val="001623D7"/>
    <w:rsid w:val="001715E2"/>
    <w:rsid w:val="00173F03"/>
    <w:rsid w:val="00177EE1"/>
    <w:rsid w:val="001838F2"/>
    <w:rsid w:val="0019383B"/>
    <w:rsid w:val="001A1A4C"/>
    <w:rsid w:val="001C1675"/>
    <w:rsid w:val="001D5716"/>
    <w:rsid w:val="001F093A"/>
    <w:rsid w:val="001F7E9A"/>
    <w:rsid w:val="00211C58"/>
    <w:rsid w:val="00222511"/>
    <w:rsid w:val="002622DE"/>
    <w:rsid w:val="00275162"/>
    <w:rsid w:val="00276455"/>
    <w:rsid w:val="002C0FC5"/>
    <w:rsid w:val="002C4BF7"/>
    <w:rsid w:val="002D42F6"/>
    <w:rsid w:val="0034377E"/>
    <w:rsid w:val="00347B64"/>
    <w:rsid w:val="00351EF6"/>
    <w:rsid w:val="0035307F"/>
    <w:rsid w:val="00353EBD"/>
    <w:rsid w:val="00356479"/>
    <w:rsid w:val="003A782D"/>
    <w:rsid w:val="003A7D9A"/>
    <w:rsid w:val="003B16CD"/>
    <w:rsid w:val="003E5140"/>
    <w:rsid w:val="003E6E34"/>
    <w:rsid w:val="003F7597"/>
    <w:rsid w:val="004120A9"/>
    <w:rsid w:val="00425285"/>
    <w:rsid w:val="00464D2E"/>
    <w:rsid w:val="00467EB0"/>
    <w:rsid w:val="00490755"/>
    <w:rsid w:val="004939D5"/>
    <w:rsid w:val="004C2FEE"/>
    <w:rsid w:val="004F2A90"/>
    <w:rsid w:val="005248F3"/>
    <w:rsid w:val="00534B76"/>
    <w:rsid w:val="0054603F"/>
    <w:rsid w:val="005731DE"/>
    <w:rsid w:val="00575A83"/>
    <w:rsid w:val="005A1115"/>
    <w:rsid w:val="005C6595"/>
    <w:rsid w:val="005D3029"/>
    <w:rsid w:val="0066151C"/>
    <w:rsid w:val="006629A6"/>
    <w:rsid w:val="0067325A"/>
    <w:rsid w:val="00683A39"/>
    <w:rsid w:val="0068796C"/>
    <w:rsid w:val="00691C76"/>
    <w:rsid w:val="006957F3"/>
    <w:rsid w:val="006C1AD5"/>
    <w:rsid w:val="006D063F"/>
    <w:rsid w:val="006D4406"/>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5386F"/>
    <w:rsid w:val="00894902"/>
    <w:rsid w:val="008A249F"/>
    <w:rsid w:val="008A57AB"/>
    <w:rsid w:val="008A701F"/>
    <w:rsid w:val="008F4F79"/>
    <w:rsid w:val="009050E7"/>
    <w:rsid w:val="0090634F"/>
    <w:rsid w:val="00917AA9"/>
    <w:rsid w:val="00946A12"/>
    <w:rsid w:val="00956526"/>
    <w:rsid w:val="00961462"/>
    <w:rsid w:val="009743E9"/>
    <w:rsid w:val="00992BFC"/>
    <w:rsid w:val="009A6EC8"/>
    <w:rsid w:val="009C17C5"/>
    <w:rsid w:val="00A2433A"/>
    <w:rsid w:val="00A3286E"/>
    <w:rsid w:val="00A529F4"/>
    <w:rsid w:val="00A5769B"/>
    <w:rsid w:val="00A66883"/>
    <w:rsid w:val="00AD6CFC"/>
    <w:rsid w:val="00AF21ED"/>
    <w:rsid w:val="00B0002F"/>
    <w:rsid w:val="00B0571C"/>
    <w:rsid w:val="00B2794A"/>
    <w:rsid w:val="00B335AA"/>
    <w:rsid w:val="00B5680B"/>
    <w:rsid w:val="00B77B83"/>
    <w:rsid w:val="00B90204"/>
    <w:rsid w:val="00BB3ADC"/>
    <w:rsid w:val="00BF7369"/>
    <w:rsid w:val="00C04843"/>
    <w:rsid w:val="00C056B9"/>
    <w:rsid w:val="00C277AB"/>
    <w:rsid w:val="00C43B54"/>
    <w:rsid w:val="00C455C8"/>
    <w:rsid w:val="00C513DA"/>
    <w:rsid w:val="00C53986"/>
    <w:rsid w:val="00C60AA7"/>
    <w:rsid w:val="00C61ECC"/>
    <w:rsid w:val="00C77053"/>
    <w:rsid w:val="00C92A33"/>
    <w:rsid w:val="00CA5F4E"/>
    <w:rsid w:val="00CC4E82"/>
    <w:rsid w:val="00D02D15"/>
    <w:rsid w:val="00D433A5"/>
    <w:rsid w:val="00D5314E"/>
    <w:rsid w:val="00D667F7"/>
    <w:rsid w:val="00D92590"/>
    <w:rsid w:val="00DE2345"/>
    <w:rsid w:val="00E06A3D"/>
    <w:rsid w:val="00E130DB"/>
    <w:rsid w:val="00E25915"/>
    <w:rsid w:val="00E37422"/>
    <w:rsid w:val="00E81FCE"/>
    <w:rsid w:val="00E93B99"/>
    <w:rsid w:val="00EA0FBD"/>
    <w:rsid w:val="00EB025D"/>
    <w:rsid w:val="00ED3CE9"/>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nyasar</cp:lastModifiedBy>
  <cp:revision>41</cp:revision>
  <cp:lastPrinted>2017-08-09T08:41:00Z</cp:lastPrinted>
  <dcterms:created xsi:type="dcterms:W3CDTF">2016-11-23T12:07:00Z</dcterms:created>
  <dcterms:modified xsi:type="dcterms:W3CDTF">2017-08-14T08:40:00Z</dcterms:modified>
</cp:coreProperties>
</file>